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C72" w:rsidRPr="00032C72" w:rsidRDefault="00032C72" w:rsidP="00032C72">
      <w:pPr>
        <w:spacing w:after="200" w:line="276" w:lineRule="auto"/>
        <w:jc w:val="both"/>
        <w:rPr>
          <w:rFonts w:asciiTheme="minorHAnsi" w:hAnsiTheme="minorHAnsi" w:cstheme="minorBidi"/>
          <w:b/>
          <w:sz w:val="40"/>
          <w:szCs w:val="40"/>
        </w:rPr>
      </w:pPr>
      <w:r w:rsidRPr="00032C72">
        <w:rPr>
          <w:rFonts w:asciiTheme="minorHAnsi" w:hAnsiTheme="minorHAnsi" w:cstheme="minorBidi"/>
          <w:b/>
          <w:noProof/>
          <w:sz w:val="40"/>
          <w:szCs w:val="40"/>
          <w:lang w:eastAsia="fr-FR"/>
        </w:rPr>
        <w:drawing>
          <wp:inline distT="0" distB="0" distL="0" distR="0" wp14:anchorId="62D8F740" wp14:editId="389233BC">
            <wp:extent cx="1486968" cy="33264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ie de Logo INP développé.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2177" cy="333808"/>
                    </a:xfrm>
                    <a:prstGeom prst="rect">
                      <a:avLst/>
                    </a:prstGeom>
                  </pic:spPr>
                </pic:pic>
              </a:graphicData>
            </a:graphic>
          </wp:inline>
        </w:drawing>
      </w:r>
      <w:r w:rsidRPr="00032C72">
        <w:rPr>
          <w:rFonts w:asciiTheme="minorHAnsi" w:hAnsiTheme="minorHAnsi" w:cstheme="minorBidi"/>
          <w:b/>
          <w:sz w:val="40"/>
          <w:szCs w:val="40"/>
        </w:rPr>
        <w:tab/>
      </w:r>
      <w:r w:rsidRPr="00032C72">
        <w:rPr>
          <w:rFonts w:asciiTheme="minorHAnsi" w:hAnsiTheme="minorHAnsi" w:cstheme="minorBidi"/>
          <w:b/>
          <w:sz w:val="40"/>
          <w:szCs w:val="40"/>
        </w:rPr>
        <w:tab/>
      </w:r>
      <w:r w:rsidRPr="00032C72">
        <w:rPr>
          <w:rFonts w:asciiTheme="minorHAnsi" w:hAnsiTheme="minorHAnsi" w:cstheme="minorBidi"/>
          <w:b/>
          <w:sz w:val="40"/>
          <w:szCs w:val="40"/>
        </w:rPr>
        <w:tab/>
      </w:r>
      <w:r w:rsidRPr="00032C72">
        <w:rPr>
          <w:rFonts w:asciiTheme="minorHAnsi" w:hAnsiTheme="minorHAnsi" w:cstheme="minorBidi"/>
          <w:b/>
          <w:sz w:val="40"/>
          <w:szCs w:val="40"/>
        </w:rPr>
        <w:tab/>
      </w:r>
      <w:r w:rsidRPr="00032C72">
        <w:rPr>
          <w:rFonts w:asciiTheme="minorHAnsi" w:hAnsiTheme="minorHAnsi" w:cstheme="minorBidi"/>
          <w:b/>
          <w:sz w:val="40"/>
          <w:szCs w:val="40"/>
        </w:rPr>
        <w:tab/>
      </w:r>
      <w:r w:rsidRPr="00032C72">
        <w:rPr>
          <w:rFonts w:asciiTheme="minorHAnsi" w:hAnsiTheme="minorHAnsi" w:cstheme="minorBidi"/>
          <w:b/>
          <w:sz w:val="40"/>
          <w:szCs w:val="40"/>
        </w:rPr>
        <w:tab/>
      </w:r>
      <w:r w:rsidRPr="00032C72">
        <w:rPr>
          <w:rFonts w:asciiTheme="minorHAnsi" w:hAnsiTheme="minorHAnsi" w:cstheme="minorBidi"/>
          <w:b/>
          <w:sz w:val="40"/>
          <w:szCs w:val="40"/>
        </w:rPr>
        <w:tab/>
      </w:r>
      <w:r w:rsidRPr="00032C72">
        <w:rPr>
          <w:rFonts w:asciiTheme="minorHAnsi" w:hAnsiTheme="minorHAnsi" w:cstheme="minorBidi"/>
          <w:b/>
          <w:sz w:val="40"/>
          <w:szCs w:val="40"/>
        </w:rPr>
        <w:tab/>
      </w:r>
      <w:r w:rsidRPr="00032C72">
        <w:rPr>
          <w:rFonts w:asciiTheme="minorHAnsi" w:hAnsiTheme="minorHAnsi" w:cstheme="minorBidi"/>
          <w:b/>
          <w:noProof/>
          <w:sz w:val="40"/>
          <w:szCs w:val="40"/>
          <w:lang w:eastAsia="fr-FR"/>
        </w:rPr>
        <w:drawing>
          <wp:inline distT="0" distB="0" distL="0" distR="0" wp14:anchorId="5BD772D6" wp14:editId="735D56C7">
            <wp:extent cx="475615" cy="615950"/>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15" cy="615950"/>
                    </a:xfrm>
                    <a:prstGeom prst="rect">
                      <a:avLst/>
                    </a:prstGeom>
                    <a:noFill/>
                  </pic:spPr>
                </pic:pic>
              </a:graphicData>
            </a:graphic>
          </wp:inline>
        </w:drawing>
      </w:r>
    </w:p>
    <w:p w:rsidR="00032C72" w:rsidRPr="00032C72" w:rsidRDefault="00032C72" w:rsidP="00032C72">
      <w:pPr>
        <w:spacing w:after="200" w:line="276" w:lineRule="auto"/>
        <w:ind w:left="720"/>
        <w:contextualSpacing/>
        <w:rPr>
          <w:rFonts w:asciiTheme="minorHAnsi" w:hAnsiTheme="minorHAnsi" w:cstheme="minorBidi"/>
          <w:b/>
          <w:sz w:val="40"/>
          <w:szCs w:val="40"/>
        </w:rPr>
      </w:pPr>
    </w:p>
    <w:p w:rsidR="00032C72" w:rsidRPr="00032C72" w:rsidRDefault="00032C72" w:rsidP="00032C72">
      <w:pPr>
        <w:numPr>
          <w:ilvl w:val="0"/>
          <w:numId w:val="1"/>
        </w:numPr>
        <w:spacing w:after="200" w:line="276" w:lineRule="auto"/>
        <w:contextualSpacing/>
        <w:jc w:val="center"/>
        <w:rPr>
          <w:rFonts w:asciiTheme="minorHAnsi" w:hAnsiTheme="minorHAnsi" w:cstheme="minorBidi"/>
          <w:b/>
          <w:sz w:val="40"/>
          <w:szCs w:val="40"/>
        </w:rPr>
      </w:pPr>
      <w:r w:rsidRPr="00032C72">
        <w:rPr>
          <w:rFonts w:asciiTheme="minorHAnsi" w:hAnsiTheme="minorHAnsi" w:cstheme="minorBidi"/>
          <w:b/>
          <w:sz w:val="40"/>
          <w:szCs w:val="40"/>
        </w:rPr>
        <w:t xml:space="preserve">Ce qu’exposer veut dire – </w:t>
      </w:r>
    </w:p>
    <w:p w:rsidR="00032C72" w:rsidRPr="00032C72" w:rsidRDefault="00032C72" w:rsidP="00032C72">
      <w:pPr>
        <w:spacing w:after="200" w:line="276" w:lineRule="auto"/>
        <w:jc w:val="center"/>
        <w:rPr>
          <w:rFonts w:asciiTheme="minorHAnsi" w:hAnsiTheme="minorHAnsi" w:cstheme="minorBidi"/>
          <w:b/>
          <w:sz w:val="32"/>
          <w:szCs w:val="32"/>
        </w:rPr>
      </w:pPr>
      <w:r w:rsidRPr="00032C72">
        <w:rPr>
          <w:rFonts w:asciiTheme="minorHAnsi" w:hAnsiTheme="minorHAnsi" w:cstheme="minorBidi"/>
          <w:b/>
          <w:sz w:val="32"/>
          <w:szCs w:val="32"/>
        </w:rPr>
        <w:t xml:space="preserve">Colloque – 23 et 24 avril 2020 </w:t>
      </w:r>
    </w:p>
    <w:p w:rsidR="00032C72" w:rsidRPr="00032C72" w:rsidRDefault="00032C72" w:rsidP="00032C72">
      <w:pPr>
        <w:spacing w:after="200" w:line="276" w:lineRule="auto"/>
        <w:jc w:val="center"/>
        <w:rPr>
          <w:rFonts w:asciiTheme="minorHAnsi" w:hAnsiTheme="minorHAnsi" w:cstheme="minorBidi"/>
          <w:b/>
          <w:sz w:val="28"/>
          <w:szCs w:val="28"/>
        </w:rPr>
      </w:pPr>
    </w:p>
    <w:p w:rsidR="00032C72" w:rsidRPr="00032C72" w:rsidRDefault="00032C72" w:rsidP="00032C72">
      <w:pPr>
        <w:spacing w:after="200" w:line="276" w:lineRule="auto"/>
        <w:jc w:val="both"/>
        <w:rPr>
          <w:rFonts w:asciiTheme="minorHAnsi" w:hAnsiTheme="minorHAnsi" w:cstheme="minorBidi"/>
        </w:rPr>
      </w:pPr>
      <w:r w:rsidRPr="00032C72">
        <w:rPr>
          <w:rFonts w:asciiTheme="minorHAnsi" w:hAnsiTheme="minorHAnsi" w:cstheme="minorBidi"/>
        </w:rPr>
        <w:t>Chaque année, l’Institut national du patrimoine organise le colloque « Ce qu’exposer veut dire ». A travers l’exemple d’expositions emblématiques de l’année précédente, le colloque a pour ambition de présenter les différentes problématiques qu’engage le projet d’exposition. Chaque intervention, au‐delà de la question scientifique, doit aussi comporter une dimension « métiers », de sorte que le colloque aborde, au fil de son déroulé, l’essentiel de la chaîne opératoire de l’exposition.</w:t>
      </w:r>
    </w:p>
    <w:p w:rsidR="00032C72" w:rsidRPr="00032C72" w:rsidRDefault="00032C72" w:rsidP="00032C72">
      <w:pPr>
        <w:spacing w:after="200" w:line="276" w:lineRule="auto"/>
        <w:jc w:val="both"/>
        <w:rPr>
          <w:rFonts w:asciiTheme="minorHAnsi" w:hAnsiTheme="minorHAnsi" w:cstheme="minorBidi"/>
        </w:rPr>
      </w:pPr>
      <w:r w:rsidRPr="00032C72">
        <w:rPr>
          <w:rFonts w:asciiTheme="minorHAnsi" w:hAnsiTheme="minorHAnsi" w:cstheme="minorBidi"/>
        </w:rPr>
        <w:t>Sont abordées des thématiques aussi diverses que le projet scientifique, la scénographie, l’installation des œuvres, la médiation ainsi que les partenariats.</w:t>
      </w:r>
    </w:p>
    <w:p w:rsidR="00032C72" w:rsidRPr="00032C72" w:rsidRDefault="00032C72" w:rsidP="00032C72">
      <w:pPr>
        <w:spacing w:after="200" w:line="276" w:lineRule="auto"/>
        <w:jc w:val="both"/>
        <w:rPr>
          <w:rFonts w:asciiTheme="minorHAnsi" w:hAnsiTheme="minorHAnsi" w:cstheme="minorBidi"/>
        </w:rPr>
      </w:pPr>
      <w:r w:rsidRPr="00032C72">
        <w:rPr>
          <w:rFonts w:asciiTheme="minorHAnsi" w:hAnsiTheme="minorHAnsi" w:cstheme="minorBidi"/>
        </w:rPr>
        <w:t>Ce colloque est ouvert aux professionnels du patrimoine et s’inscrit, en outre, dans le cursus de formation dispensée par l’INP aux élèves conservateurs du patrimoine.</w:t>
      </w:r>
    </w:p>
    <w:p w:rsidR="00032C72" w:rsidRPr="00032C72" w:rsidRDefault="00032C72" w:rsidP="00032C72">
      <w:pPr>
        <w:spacing w:after="200" w:line="276" w:lineRule="auto"/>
        <w:jc w:val="both"/>
        <w:rPr>
          <w:rFonts w:asciiTheme="minorHAnsi" w:hAnsiTheme="minorHAnsi" w:cstheme="minorBidi"/>
        </w:rPr>
      </w:pPr>
      <w:r w:rsidRPr="00032C72">
        <w:rPr>
          <w:rFonts w:asciiTheme="minorHAnsi" w:hAnsiTheme="minorHAnsi" w:cstheme="minorBidi"/>
        </w:rPr>
        <w:t>Ces dernières années, les grandes expositions ont battu des records de fréquentation, signe que le public plébiscite l’offre culturelle proposée par les institutions. Mais ce succès s’accompagne de nouvelles contraintes pour le visiteur. Les débats permettront ainsi de s’interroger sur ces évolutions et la manière dont les musées et institutions culturelles s’adaptent en mettant en place des stratégies et en proposant des outils au public, afin de remédier à son sentiment d’insatisfaction. Les journées aborderont également la question de la représentation de la diversité dans les expositions temporaires 2019 et les moyens employés pour aborder ce sujet social (scénographie, médiation, programmation culturelle, etc…). Enfin, les expositions s’invitent également en dehors des musées. Une troisième session montrera que ces expériences hors les murs permettent de toucher des publics éloignés ou dans l’impossibilité d’accéder aux œuvres pour des raisons de conservation.</w:t>
      </w:r>
    </w:p>
    <w:p w:rsidR="00032C72" w:rsidRDefault="00032C72" w:rsidP="00032C72">
      <w:pPr>
        <w:spacing w:after="200" w:line="276" w:lineRule="auto"/>
        <w:jc w:val="center"/>
        <w:rPr>
          <w:rFonts w:asciiTheme="minorHAnsi" w:hAnsiTheme="minorHAnsi" w:cstheme="minorBidi"/>
          <w:b/>
          <w:sz w:val="28"/>
          <w:szCs w:val="28"/>
        </w:rPr>
      </w:pPr>
    </w:p>
    <w:p w:rsidR="006A5F6E" w:rsidRDefault="006A5F6E" w:rsidP="00032C72">
      <w:pPr>
        <w:spacing w:after="200" w:line="276" w:lineRule="auto"/>
        <w:jc w:val="center"/>
        <w:rPr>
          <w:rFonts w:asciiTheme="minorHAnsi" w:hAnsiTheme="minorHAnsi" w:cstheme="minorBidi"/>
          <w:b/>
          <w:sz w:val="28"/>
          <w:szCs w:val="28"/>
        </w:rPr>
      </w:pPr>
    </w:p>
    <w:p w:rsidR="006A5F6E" w:rsidRDefault="006A5F6E" w:rsidP="00032C72">
      <w:pPr>
        <w:spacing w:after="200" w:line="276" w:lineRule="auto"/>
        <w:jc w:val="center"/>
        <w:rPr>
          <w:rFonts w:asciiTheme="minorHAnsi" w:hAnsiTheme="minorHAnsi" w:cstheme="minorBidi"/>
          <w:b/>
          <w:sz w:val="28"/>
          <w:szCs w:val="28"/>
        </w:rPr>
      </w:pPr>
    </w:p>
    <w:p w:rsidR="00DE798C" w:rsidRDefault="00DE798C" w:rsidP="00032C72">
      <w:pPr>
        <w:spacing w:after="200" w:line="276" w:lineRule="auto"/>
        <w:jc w:val="center"/>
        <w:rPr>
          <w:rFonts w:asciiTheme="minorHAnsi" w:hAnsiTheme="minorHAnsi" w:cstheme="minorBidi"/>
          <w:b/>
          <w:sz w:val="28"/>
          <w:szCs w:val="28"/>
        </w:rPr>
      </w:pPr>
    </w:p>
    <w:p w:rsidR="006A5F6E" w:rsidRDefault="006A5F6E" w:rsidP="00032C72">
      <w:pPr>
        <w:spacing w:after="200" w:line="276" w:lineRule="auto"/>
        <w:jc w:val="center"/>
        <w:rPr>
          <w:rFonts w:asciiTheme="minorHAnsi" w:hAnsiTheme="minorHAnsi" w:cstheme="minorBidi"/>
          <w:b/>
          <w:sz w:val="28"/>
          <w:szCs w:val="28"/>
        </w:rPr>
      </w:pPr>
    </w:p>
    <w:p w:rsidR="006A5F6E" w:rsidRDefault="006A5F6E" w:rsidP="00032C72">
      <w:pPr>
        <w:spacing w:after="200" w:line="276" w:lineRule="auto"/>
        <w:jc w:val="center"/>
        <w:rPr>
          <w:rFonts w:asciiTheme="minorHAnsi" w:hAnsiTheme="minorHAnsi" w:cstheme="minorBidi"/>
          <w:b/>
          <w:sz w:val="28"/>
          <w:szCs w:val="28"/>
        </w:rPr>
      </w:pPr>
    </w:p>
    <w:p w:rsidR="006A5F6E" w:rsidRDefault="006A5F6E" w:rsidP="00032C72">
      <w:pPr>
        <w:spacing w:after="200" w:line="276" w:lineRule="auto"/>
        <w:jc w:val="center"/>
        <w:rPr>
          <w:rFonts w:asciiTheme="minorHAnsi" w:hAnsiTheme="minorHAnsi" w:cstheme="minorBidi"/>
          <w:b/>
          <w:sz w:val="28"/>
          <w:szCs w:val="28"/>
        </w:rPr>
      </w:pPr>
    </w:p>
    <w:p w:rsidR="00032C72" w:rsidRDefault="00032C72" w:rsidP="00032C72">
      <w:pPr>
        <w:spacing w:after="200" w:line="276" w:lineRule="auto"/>
        <w:jc w:val="center"/>
        <w:rPr>
          <w:rFonts w:asciiTheme="minorHAnsi" w:hAnsiTheme="minorHAnsi" w:cstheme="minorBidi"/>
          <w:b/>
          <w:sz w:val="28"/>
          <w:szCs w:val="28"/>
        </w:rPr>
      </w:pPr>
      <w:r w:rsidRPr="00032C72">
        <w:rPr>
          <w:rFonts w:asciiTheme="minorHAnsi" w:hAnsiTheme="minorHAnsi" w:cstheme="minorBidi"/>
          <w:b/>
          <w:sz w:val="28"/>
          <w:szCs w:val="28"/>
        </w:rPr>
        <w:lastRenderedPageBreak/>
        <w:t>Programme prévisionnel</w:t>
      </w:r>
    </w:p>
    <w:p w:rsidR="006A5F6E" w:rsidRDefault="006A5F6E" w:rsidP="006A5F6E">
      <w:pPr>
        <w:pStyle w:val="Sansinterligne"/>
      </w:pPr>
    </w:p>
    <w:p w:rsidR="00B14B5B" w:rsidRPr="00032C72" w:rsidRDefault="00B14B5B" w:rsidP="00032C72">
      <w:pPr>
        <w:spacing w:after="200" w:line="276" w:lineRule="auto"/>
        <w:jc w:val="center"/>
        <w:rPr>
          <w:rFonts w:asciiTheme="minorHAnsi" w:hAnsiTheme="minorHAnsi" w:cstheme="minorBidi"/>
        </w:rPr>
      </w:pPr>
      <w:r>
        <w:rPr>
          <w:rFonts w:asciiTheme="minorHAnsi" w:hAnsiTheme="minorHAnsi" w:cstheme="minorBidi"/>
          <w:b/>
          <w:sz w:val="28"/>
          <w:szCs w:val="28"/>
        </w:rPr>
        <w:t xml:space="preserve">Jeudi 23 avril </w:t>
      </w:r>
    </w:p>
    <w:p w:rsidR="00750838" w:rsidRDefault="00807A90"/>
    <w:p w:rsidR="00B14B5B" w:rsidRPr="00B14B5B" w:rsidRDefault="00B14B5B" w:rsidP="003A45F6">
      <w:pPr>
        <w:jc w:val="both"/>
        <w:rPr>
          <w:b/>
        </w:rPr>
      </w:pPr>
      <w:r w:rsidRPr="00B14B5B">
        <w:rPr>
          <w:b/>
        </w:rPr>
        <w:t>MATIN</w:t>
      </w:r>
    </w:p>
    <w:p w:rsidR="00032C72" w:rsidRPr="00032C72" w:rsidRDefault="00032C72" w:rsidP="003A45F6">
      <w:pPr>
        <w:jc w:val="both"/>
      </w:pPr>
    </w:p>
    <w:p w:rsidR="00032C72" w:rsidRPr="001F416D" w:rsidRDefault="00032C72" w:rsidP="003A45F6">
      <w:pPr>
        <w:pStyle w:val="Paragraphedeliste"/>
        <w:numPr>
          <w:ilvl w:val="0"/>
          <w:numId w:val="2"/>
        </w:numPr>
        <w:jc w:val="both"/>
        <w:rPr>
          <w:b/>
          <w:sz w:val="28"/>
          <w:szCs w:val="28"/>
        </w:rPr>
      </w:pPr>
      <w:r w:rsidRPr="001F416D">
        <w:rPr>
          <w:b/>
          <w:sz w:val="28"/>
          <w:szCs w:val="28"/>
        </w:rPr>
        <w:t xml:space="preserve">Fréquentation en hausse : </w:t>
      </w:r>
      <w:proofErr w:type="spellStart"/>
      <w:r w:rsidRPr="001F416D">
        <w:rPr>
          <w:b/>
          <w:sz w:val="28"/>
          <w:szCs w:val="28"/>
        </w:rPr>
        <w:t>hyperfréquentation</w:t>
      </w:r>
      <w:proofErr w:type="spellEnd"/>
      <w:r w:rsidRPr="001F416D">
        <w:rPr>
          <w:b/>
          <w:sz w:val="28"/>
          <w:szCs w:val="28"/>
        </w:rPr>
        <w:t xml:space="preserve">, confort et inconfort du visiteur </w:t>
      </w:r>
    </w:p>
    <w:p w:rsidR="006A5F6E" w:rsidRPr="006A5F6E" w:rsidRDefault="006A5F6E" w:rsidP="003A45F6">
      <w:pPr>
        <w:jc w:val="both"/>
        <w:rPr>
          <w:b/>
        </w:rPr>
      </w:pPr>
    </w:p>
    <w:p w:rsidR="00405270" w:rsidRDefault="00405270" w:rsidP="003A45F6">
      <w:pPr>
        <w:jc w:val="both"/>
      </w:pPr>
      <w:r>
        <w:t xml:space="preserve">9h30-9h50 : </w:t>
      </w:r>
      <w:r w:rsidRPr="00DE798C">
        <w:rPr>
          <w:b/>
          <w:i/>
        </w:rPr>
        <w:t>Propos introductif : définition de l’</w:t>
      </w:r>
      <w:proofErr w:type="spellStart"/>
      <w:r w:rsidRPr="00DE798C">
        <w:rPr>
          <w:b/>
          <w:i/>
        </w:rPr>
        <w:t>hyperfréquentation</w:t>
      </w:r>
      <w:proofErr w:type="spellEnd"/>
      <w:r w:rsidRPr="00DE798C">
        <w:rPr>
          <w:b/>
          <w:i/>
        </w:rPr>
        <w:t>, de son co</w:t>
      </w:r>
      <w:r w:rsidR="00DE798C">
        <w:rPr>
          <w:b/>
          <w:i/>
        </w:rPr>
        <w:t xml:space="preserve">nstat et de la </w:t>
      </w:r>
      <w:proofErr w:type="spellStart"/>
      <w:r w:rsidR="00DE798C">
        <w:rPr>
          <w:b/>
          <w:i/>
        </w:rPr>
        <w:t>surfréquentation</w:t>
      </w:r>
      <w:proofErr w:type="spellEnd"/>
    </w:p>
    <w:p w:rsidR="00405270" w:rsidRDefault="00405270" w:rsidP="00DE798C">
      <w:pPr>
        <w:ind w:firstLine="708"/>
        <w:jc w:val="both"/>
      </w:pPr>
      <w:r w:rsidRPr="00DE798C">
        <w:rPr>
          <w:u w:val="single"/>
        </w:rPr>
        <w:t>Intervenant</w:t>
      </w:r>
      <w:r>
        <w:t> : Départemen</w:t>
      </w:r>
      <w:r w:rsidR="00DE798C">
        <w:t xml:space="preserve">t de la politique des publics </w:t>
      </w:r>
    </w:p>
    <w:p w:rsidR="00405270" w:rsidRDefault="00405270" w:rsidP="003A45F6">
      <w:pPr>
        <w:jc w:val="both"/>
      </w:pPr>
    </w:p>
    <w:p w:rsidR="00032C72" w:rsidRPr="00032C72" w:rsidRDefault="003A45F6" w:rsidP="003A45F6">
      <w:pPr>
        <w:jc w:val="both"/>
      </w:pPr>
      <w:r>
        <w:t>9h</w:t>
      </w:r>
      <w:r w:rsidR="00405270">
        <w:t>50</w:t>
      </w:r>
      <w:r>
        <w:t>-</w:t>
      </w:r>
      <w:r w:rsidR="00CC72D9">
        <w:t>10h</w:t>
      </w:r>
      <w:r w:rsidR="004C0119">
        <w:t>4</w:t>
      </w:r>
      <w:r w:rsidR="0089091D">
        <w:t>5</w:t>
      </w:r>
      <w:r>
        <w:t xml:space="preserve"> </w:t>
      </w:r>
      <w:r w:rsidR="00032C72" w:rsidRPr="003A45F6">
        <w:rPr>
          <w:b/>
          <w:i/>
        </w:rPr>
        <w:t>Enquête annuelle du département de la politique des publics : A l’écoute des visiteurs</w:t>
      </w:r>
      <w:r w:rsidR="00032C72" w:rsidRPr="00032C72">
        <w:t xml:space="preserve"> </w:t>
      </w:r>
    </w:p>
    <w:p w:rsidR="00032C72" w:rsidRPr="00032C72" w:rsidRDefault="00032C72" w:rsidP="003A45F6">
      <w:pPr>
        <w:ind w:left="720"/>
        <w:jc w:val="both"/>
      </w:pPr>
      <w:r w:rsidRPr="00032C72">
        <w:t xml:space="preserve">Présentation de l’enquête et </w:t>
      </w:r>
      <w:r w:rsidR="004C0119">
        <w:t>des résultats des questions portant sur la satisfaction des visiteurs à l’égard des conditions de visite.</w:t>
      </w:r>
    </w:p>
    <w:p w:rsidR="003A45F6" w:rsidRPr="00032C72" w:rsidRDefault="003A45F6" w:rsidP="003A45F6">
      <w:pPr>
        <w:ind w:left="720"/>
        <w:jc w:val="both"/>
      </w:pPr>
      <w:r w:rsidRPr="003A45F6">
        <w:rPr>
          <w:u w:val="single"/>
        </w:rPr>
        <w:t>Intervenants</w:t>
      </w:r>
      <w:r>
        <w:t> :</w:t>
      </w:r>
      <w:r w:rsidR="002048F7">
        <w:t xml:space="preserve"> Joséphine </w:t>
      </w:r>
      <w:proofErr w:type="spellStart"/>
      <w:r w:rsidR="002048F7">
        <w:t>Dezellus</w:t>
      </w:r>
      <w:proofErr w:type="spellEnd"/>
      <w:r w:rsidR="002048F7">
        <w:t>, chargée d’études au département de la politique des publics</w:t>
      </w:r>
    </w:p>
    <w:p w:rsidR="003A45F6" w:rsidRDefault="003A45F6" w:rsidP="003A45F6">
      <w:pPr>
        <w:jc w:val="both"/>
      </w:pPr>
    </w:p>
    <w:p w:rsidR="003A45F6" w:rsidRPr="0089091D" w:rsidRDefault="003A45F6" w:rsidP="003A45F6">
      <w:pPr>
        <w:jc w:val="both"/>
      </w:pPr>
      <w:r>
        <w:t>10h-1</w:t>
      </w:r>
      <w:r w:rsidR="00CC72D9">
        <w:t>0</w:t>
      </w:r>
      <w:r>
        <w:t>h</w:t>
      </w:r>
      <w:r w:rsidR="0089091D">
        <w:t>30</w:t>
      </w:r>
      <w:r>
        <w:t xml:space="preserve"> </w:t>
      </w:r>
      <w:r w:rsidR="00032C72" w:rsidRPr="003A45F6">
        <w:rPr>
          <w:b/>
          <w:i/>
        </w:rPr>
        <w:t>Développement par le Département de la politique des publics de la définition de l’</w:t>
      </w:r>
      <w:proofErr w:type="spellStart"/>
      <w:r w:rsidR="00032C72" w:rsidRPr="003A45F6">
        <w:rPr>
          <w:b/>
          <w:i/>
        </w:rPr>
        <w:t>hyperfréquentation</w:t>
      </w:r>
      <w:proofErr w:type="spellEnd"/>
      <w:r w:rsidR="00032C72" w:rsidRPr="003A45F6">
        <w:rPr>
          <w:b/>
          <w:i/>
        </w:rPr>
        <w:t xml:space="preserve"> et du constat de l’</w:t>
      </w:r>
      <w:proofErr w:type="spellStart"/>
      <w:r w:rsidR="00032C72" w:rsidRPr="003A45F6">
        <w:rPr>
          <w:b/>
          <w:i/>
        </w:rPr>
        <w:t>hyperfréquentation</w:t>
      </w:r>
      <w:proofErr w:type="spellEnd"/>
      <w:r w:rsidR="00032C72" w:rsidRPr="003A45F6">
        <w:rPr>
          <w:b/>
          <w:i/>
        </w:rPr>
        <w:t>.</w:t>
      </w:r>
    </w:p>
    <w:p w:rsidR="00032C72" w:rsidRPr="00032C72" w:rsidRDefault="00032C72" w:rsidP="003A45F6">
      <w:pPr>
        <w:ind w:left="709"/>
        <w:jc w:val="both"/>
      </w:pPr>
      <w:r w:rsidRPr="003A45F6">
        <w:rPr>
          <w:u w:val="single"/>
        </w:rPr>
        <w:t>Intervenants</w:t>
      </w:r>
      <w:r w:rsidRPr="00032C72">
        <w:t xml:space="preserve"> : </w:t>
      </w:r>
      <w:r w:rsidR="003A45F6">
        <w:t xml:space="preserve">Virginie Mathurin, </w:t>
      </w:r>
      <w:r w:rsidRPr="00032C72">
        <w:t>Département de la politique des publics</w:t>
      </w:r>
      <w:r w:rsidR="003A45F6">
        <w:t xml:space="preserve"> </w:t>
      </w:r>
    </w:p>
    <w:p w:rsidR="00032C72" w:rsidRPr="00032C72" w:rsidRDefault="00032C72" w:rsidP="003A45F6">
      <w:pPr>
        <w:jc w:val="both"/>
      </w:pPr>
    </w:p>
    <w:p w:rsidR="00032C72" w:rsidRPr="00032C72" w:rsidRDefault="003A45F6" w:rsidP="003A45F6">
      <w:pPr>
        <w:jc w:val="both"/>
      </w:pPr>
      <w:r>
        <w:t>1</w:t>
      </w:r>
      <w:r w:rsidR="00CC72D9">
        <w:t>0</w:t>
      </w:r>
      <w:r>
        <w:t>h</w:t>
      </w:r>
      <w:r w:rsidR="00CC72D9">
        <w:t>45</w:t>
      </w:r>
      <w:r>
        <w:t>-1</w:t>
      </w:r>
      <w:r w:rsidR="00CC72D9">
        <w:t>1</w:t>
      </w:r>
      <w:r>
        <w:t>h</w:t>
      </w:r>
      <w:r w:rsidR="00CC72D9">
        <w:t>30</w:t>
      </w:r>
      <w:r>
        <w:t xml:space="preserve"> </w:t>
      </w:r>
      <w:r w:rsidR="00032C72" w:rsidRPr="003A45F6">
        <w:rPr>
          <w:b/>
          <w:i/>
        </w:rPr>
        <w:t>Comment gérer l’</w:t>
      </w:r>
      <w:proofErr w:type="spellStart"/>
      <w:r w:rsidR="00032C72" w:rsidRPr="003A45F6">
        <w:rPr>
          <w:b/>
          <w:i/>
        </w:rPr>
        <w:t>hyperfréquentation</w:t>
      </w:r>
      <w:proofErr w:type="spellEnd"/>
      <w:r w:rsidR="00032C72" w:rsidRPr="003A45F6">
        <w:rPr>
          <w:b/>
          <w:i/>
        </w:rPr>
        <w:t xml:space="preserve"> ? </w:t>
      </w:r>
      <w:r w:rsidR="004C0119">
        <w:rPr>
          <w:b/>
          <w:i/>
        </w:rPr>
        <w:t>Outils et s</w:t>
      </w:r>
      <w:r w:rsidR="00032C72" w:rsidRPr="003A45F6">
        <w:rPr>
          <w:b/>
          <w:i/>
        </w:rPr>
        <w:t xml:space="preserve">tratégie </w:t>
      </w:r>
    </w:p>
    <w:p w:rsidR="00032C72" w:rsidRPr="00032C72" w:rsidRDefault="00032C72" w:rsidP="003A45F6">
      <w:pPr>
        <w:ind w:left="708"/>
        <w:jc w:val="both"/>
      </w:pPr>
      <w:r w:rsidRPr="00032C72">
        <w:t>-</w:t>
      </w:r>
      <w:r w:rsidR="004C0119">
        <w:t xml:space="preserve"> </w:t>
      </w:r>
      <w:r w:rsidRPr="00032C72">
        <w:t>la gestion des files d’attente (réservation en ligne, entrées réservées, extension horaire…)</w:t>
      </w:r>
    </w:p>
    <w:p w:rsidR="00032C72" w:rsidRPr="00032C72" w:rsidRDefault="00032C72" w:rsidP="003A45F6">
      <w:pPr>
        <w:ind w:left="708"/>
        <w:jc w:val="both"/>
      </w:pPr>
      <w:r w:rsidRPr="00032C72">
        <w:t>- penser les lieux de repos et de stationnement</w:t>
      </w:r>
    </w:p>
    <w:p w:rsidR="003A45F6" w:rsidRDefault="00032C72" w:rsidP="003A45F6">
      <w:pPr>
        <w:ind w:left="708"/>
        <w:jc w:val="both"/>
      </w:pPr>
      <w:r w:rsidRPr="00032C72">
        <w:t>- faire appel à des agences spécialistes de la mécanique des flux comme dans les gares et les aéroports.</w:t>
      </w:r>
    </w:p>
    <w:p w:rsidR="003A45F6" w:rsidRDefault="00032C72" w:rsidP="003A45F6">
      <w:pPr>
        <w:ind w:left="708"/>
        <w:jc w:val="both"/>
      </w:pPr>
      <w:r w:rsidRPr="003A45F6">
        <w:rPr>
          <w:u w:val="single"/>
        </w:rPr>
        <w:t>Intervenants</w:t>
      </w:r>
      <w:r w:rsidRPr="00032C72">
        <w:t xml:space="preserve"> : </w:t>
      </w:r>
      <w:r w:rsidR="003A45F6">
        <w:t>Mus</w:t>
      </w:r>
      <w:r w:rsidR="00E26ACB">
        <w:t>ée du Louvre</w:t>
      </w:r>
      <w:r w:rsidR="009C617B">
        <w:t xml:space="preserve"> : </w:t>
      </w:r>
      <w:r w:rsidR="004C0119">
        <w:t xml:space="preserve">Nathalie Steffen </w:t>
      </w:r>
      <w:r w:rsidR="009C617B">
        <w:t xml:space="preserve">(Projet Studio) et Denis </w:t>
      </w:r>
      <w:proofErr w:type="spellStart"/>
      <w:r w:rsidR="009C617B">
        <w:t>Fousse</w:t>
      </w:r>
      <w:proofErr w:type="spellEnd"/>
      <w:r w:rsidR="009C617B">
        <w:t xml:space="preserve"> (accueil du public)</w:t>
      </w:r>
    </w:p>
    <w:p w:rsidR="00032C72" w:rsidRDefault="00032C72" w:rsidP="003A45F6">
      <w:pPr>
        <w:jc w:val="both"/>
      </w:pPr>
    </w:p>
    <w:p w:rsidR="006A5F6E" w:rsidRDefault="006A5F6E" w:rsidP="003A45F6">
      <w:pPr>
        <w:jc w:val="both"/>
        <w:rPr>
          <w:b/>
        </w:rPr>
      </w:pPr>
    </w:p>
    <w:p w:rsidR="00032C72" w:rsidRPr="00B14B5B" w:rsidRDefault="00032C72" w:rsidP="003A45F6">
      <w:pPr>
        <w:jc w:val="both"/>
        <w:rPr>
          <w:b/>
        </w:rPr>
      </w:pPr>
      <w:r w:rsidRPr="00B14B5B">
        <w:rPr>
          <w:b/>
        </w:rPr>
        <w:t>APRES MIDI</w:t>
      </w:r>
    </w:p>
    <w:p w:rsidR="00032C72" w:rsidRPr="00032C72" w:rsidRDefault="00032C72" w:rsidP="003A45F6">
      <w:pPr>
        <w:jc w:val="both"/>
      </w:pPr>
    </w:p>
    <w:p w:rsidR="00032C72" w:rsidRPr="001F416D" w:rsidRDefault="006A5F6E" w:rsidP="003A45F6">
      <w:pPr>
        <w:pStyle w:val="Paragraphedeliste"/>
        <w:numPr>
          <w:ilvl w:val="0"/>
          <w:numId w:val="2"/>
        </w:numPr>
        <w:jc w:val="both"/>
        <w:rPr>
          <w:b/>
          <w:sz w:val="28"/>
          <w:szCs w:val="28"/>
        </w:rPr>
      </w:pPr>
      <w:r w:rsidRPr="001F416D">
        <w:rPr>
          <w:b/>
          <w:sz w:val="28"/>
          <w:szCs w:val="28"/>
        </w:rPr>
        <w:t>Etudes de cas</w:t>
      </w:r>
      <w:r w:rsidR="00032C72" w:rsidRPr="001F416D">
        <w:rPr>
          <w:b/>
          <w:sz w:val="28"/>
          <w:szCs w:val="28"/>
        </w:rPr>
        <w:t xml:space="preserve"> </w:t>
      </w:r>
    </w:p>
    <w:p w:rsidR="00032C72" w:rsidRPr="00032C72" w:rsidRDefault="00032C72" w:rsidP="003A45F6">
      <w:pPr>
        <w:pStyle w:val="Paragraphedeliste"/>
        <w:jc w:val="both"/>
      </w:pPr>
    </w:p>
    <w:p w:rsidR="006A5F6E" w:rsidRDefault="003A45F6" w:rsidP="003A45F6">
      <w:pPr>
        <w:jc w:val="both"/>
      </w:pPr>
      <w:r w:rsidRPr="003A45F6">
        <w:rPr>
          <w:rFonts w:asciiTheme="minorHAnsi" w:hAnsiTheme="minorHAnsi"/>
        </w:rPr>
        <w:t xml:space="preserve">14h </w:t>
      </w:r>
      <w:r w:rsidR="00032C72" w:rsidRPr="003A45F6">
        <w:rPr>
          <w:rFonts w:asciiTheme="minorHAnsi" w:hAnsiTheme="minorHAnsi"/>
        </w:rPr>
        <w:t xml:space="preserve"> </w:t>
      </w:r>
      <w:r w:rsidR="00032C72" w:rsidRPr="003A45F6">
        <w:rPr>
          <w:b/>
          <w:i/>
        </w:rPr>
        <w:t xml:space="preserve">Exposition et scénographie : </w:t>
      </w:r>
      <w:r w:rsidRPr="003A45F6">
        <w:rPr>
          <w:b/>
          <w:i/>
        </w:rPr>
        <w:t>Tolkien, voyage en terre du milieu à la BNF</w:t>
      </w:r>
    </w:p>
    <w:p w:rsidR="003A45F6" w:rsidRDefault="003A45F6" w:rsidP="003A45F6">
      <w:pPr>
        <w:pStyle w:val="Paragraphedeliste"/>
        <w:ind w:left="1080" w:hanging="360"/>
        <w:jc w:val="both"/>
      </w:pPr>
      <w:r w:rsidRPr="003A45F6">
        <w:rPr>
          <w:u w:val="single"/>
        </w:rPr>
        <w:t>Intervenants</w:t>
      </w:r>
      <w:r w:rsidRPr="003A45F6">
        <w:t xml:space="preserve"> :</w:t>
      </w:r>
      <w:r>
        <w:t xml:space="preserve"> Flavio </w:t>
      </w:r>
      <w:proofErr w:type="spellStart"/>
      <w:r>
        <w:t>Bonucceli</w:t>
      </w:r>
      <w:proofErr w:type="spellEnd"/>
      <w:r>
        <w:t>, scénographe</w:t>
      </w:r>
    </w:p>
    <w:p w:rsidR="001F416D" w:rsidRDefault="003A45F6" w:rsidP="003A45F6">
      <w:pPr>
        <w:pStyle w:val="Paragraphedeliste"/>
        <w:ind w:left="1080" w:hanging="360"/>
        <w:jc w:val="both"/>
      </w:pPr>
      <w:r w:rsidRPr="003A45F6">
        <w:tab/>
      </w:r>
      <w:r>
        <w:tab/>
      </w:r>
      <w:r>
        <w:tab/>
        <w:t xml:space="preserve">Frédéric </w:t>
      </w:r>
      <w:proofErr w:type="spellStart"/>
      <w:r>
        <w:t>Manfrin</w:t>
      </w:r>
      <w:proofErr w:type="spellEnd"/>
      <w:r>
        <w:t xml:space="preserve"> (</w:t>
      </w:r>
      <w:proofErr w:type="spellStart"/>
      <w:r>
        <w:t>BnF</w:t>
      </w:r>
      <w:proofErr w:type="spellEnd"/>
      <w:r>
        <w:t>) et Vincent Ferré (Université Paris Est-Créteil),</w:t>
      </w:r>
    </w:p>
    <w:p w:rsidR="003A45F6" w:rsidRPr="003A45F6" w:rsidRDefault="003A45F6" w:rsidP="001F416D">
      <w:pPr>
        <w:pStyle w:val="Paragraphedeliste"/>
        <w:ind w:left="1788" w:firstLine="336"/>
        <w:jc w:val="both"/>
      </w:pPr>
      <w:r>
        <w:t xml:space="preserve"> </w:t>
      </w:r>
      <w:proofErr w:type="gramStart"/>
      <w:r>
        <w:t>commissaires</w:t>
      </w:r>
      <w:proofErr w:type="gramEnd"/>
      <w:r>
        <w:t xml:space="preserve"> de l’exposition</w:t>
      </w:r>
    </w:p>
    <w:p w:rsidR="003A45F6" w:rsidRDefault="003A45F6" w:rsidP="003A45F6">
      <w:pPr>
        <w:pStyle w:val="Paragraphedeliste"/>
        <w:ind w:left="1080" w:hanging="360"/>
        <w:jc w:val="both"/>
      </w:pPr>
    </w:p>
    <w:p w:rsidR="00032C72" w:rsidRPr="00032C72" w:rsidRDefault="001F416D" w:rsidP="001F416D">
      <w:pPr>
        <w:jc w:val="both"/>
      </w:pPr>
      <w:r>
        <w:t xml:space="preserve">14h45 </w:t>
      </w:r>
      <w:r w:rsidR="006A5F6E" w:rsidRPr="001F416D">
        <w:rPr>
          <w:b/>
          <w:i/>
        </w:rPr>
        <w:t xml:space="preserve">Exposition </w:t>
      </w:r>
      <w:proofErr w:type="spellStart"/>
      <w:r w:rsidR="00032C72" w:rsidRPr="001F416D">
        <w:rPr>
          <w:b/>
          <w:i/>
        </w:rPr>
        <w:t>Tout</w:t>
      </w:r>
      <w:r>
        <w:rPr>
          <w:b/>
          <w:i/>
        </w:rPr>
        <w:t>â</w:t>
      </w:r>
      <w:r w:rsidR="00032C72" w:rsidRPr="001F416D">
        <w:rPr>
          <w:b/>
          <w:i/>
        </w:rPr>
        <w:t>nkhamon</w:t>
      </w:r>
      <w:proofErr w:type="spellEnd"/>
      <w:r>
        <w:rPr>
          <w:b/>
          <w:i/>
        </w:rPr>
        <w:t>, le Trésor du Pharaon à la Villette</w:t>
      </w:r>
    </w:p>
    <w:p w:rsidR="001F416D" w:rsidRDefault="001F416D" w:rsidP="001F416D">
      <w:pPr>
        <w:ind w:left="709"/>
        <w:jc w:val="both"/>
      </w:pPr>
      <w:r w:rsidRPr="001F416D">
        <w:rPr>
          <w:u w:val="single"/>
        </w:rPr>
        <w:t>Intervenants</w:t>
      </w:r>
      <w:r w:rsidRPr="001F416D">
        <w:t xml:space="preserve"> :</w:t>
      </w:r>
      <w:r>
        <w:t xml:space="preserve"> Didier Fusillier (président de la Villette) et Vincent Rondo (</w:t>
      </w:r>
      <w:r w:rsidRPr="001F416D">
        <w:t>directeur du département des A</w:t>
      </w:r>
      <w:r>
        <w:t>ntiquités égyptiennes au Louvre)</w:t>
      </w:r>
    </w:p>
    <w:p w:rsidR="001F416D" w:rsidRDefault="001F416D" w:rsidP="001F416D">
      <w:pPr>
        <w:ind w:left="709"/>
        <w:jc w:val="both"/>
      </w:pPr>
    </w:p>
    <w:p w:rsidR="001F416D" w:rsidRDefault="001F416D" w:rsidP="001F416D">
      <w:pPr>
        <w:jc w:val="both"/>
      </w:pPr>
    </w:p>
    <w:p w:rsidR="00032C72" w:rsidRPr="00032C72" w:rsidRDefault="001F416D" w:rsidP="001F416D">
      <w:pPr>
        <w:jc w:val="both"/>
      </w:pPr>
      <w:r>
        <w:t xml:space="preserve">15h15 </w:t>
      </w:r>
      <w:r w:rsidRPr="001F416D">
        <w:rPr>
          <w:b/>
          <w:i/>
        </w:rPr>
        <w:t>Exposition Leonard</w:t>
      </w:r>
      <w:r>
        <w:rPr>
          <w:b/>
          <w:i/>
        </w:rPr>
        <w:t xml:space="preserve"> de Vinci au Louvre</w:t>
      </w:r>
    </w:p>
    <w:p w:rsidR="00032C72" w:rsidRDefault="001F416D" w:rsidP="001F416D">
      <w:pPr>
        <w:ind w:left="709"/>
        <w:jc w:val="both"/>
      </w:pPr>
      <w:r w:rsidRPr="001F416D">
        <w:rPr>
          <w:u w:val="single"/>
        </w:rPr>
        <w:t>Intervenants</w:t>
      </w:r>
      <w:r w:rsidRPr="001F416D">
        <w:t xml:space="preserve"> :</w:t>
      </w:r>
      <w:r>
        <w:t xml:space="preserve"> Louis Franck, </w:t>
      </w:r>
      <w:r w:rsidR="00995558">
        <w:t>c</w:t>
      </w:r>
      <w:r w:rsidR="00D550AB">
        <w:t xml:space="preserve">ommissaire de l’exposition, </w:t>
      </w:r>
      <w:r w:rsidR="009C617B">
        <w:t>et chargé d’étude du Louvre : résultats de l’</w:t>
      </w:r>
      <w:r w:rsidR="009C617B" w:rsidRPr="009C617B">
        <w:t xml:space="preserve">enquête auprès des visiteurs </w:t>
      </w:r>
    </w:p>
    <w:p w:rsidR="008F2C38" w:rsidRDefault="008F2C38" w:rsidP="001F416D">
      <w:pPr>
        <w:ind w:left="709"/>
        <w:jc w:val="both"/>
      </w:pPr>
    </w:p>
    <w:p w:rsidR="00B14B5B" w:rsidRPr="00B14B5B" w:rsidRDefault="00B14B5B" w:rsidP="003A45F6">
      <w:pPr>
        <w:jc w:val="center"/>
        <w:rPr>
          <w:b/>
          <w:sz w:val="28"/>
          <w:szCs w:val="28"/>
        </w:rPr>
      </w:pPr>
      <w:r w:rsidRPr="00B14B5B">
        <w:rPr>
          <w:b/>
          <w:sz w:val="28"/>
          <w:szCs w:val="28"/>
        </w:rPr>
        <w:lastRenderedPageBreak/>
        <w:t>Vendredi 24 avril</w:t>
      </w:r>
    </w:p>
    <w:p w:rsidR="00B14B5B" w:rsidRDefault="00B14B5B" w:rsidP="003A45F6">
      <w:pPr>
        <w:jc w:val="both"/>
        <w:rPr>
          <w:b/>
        </w:rPr>
      </w:pPr>
    </w:p>
    <w:p w:rsidR="00B14B5B" w:rsidRDefault="00B14B5B" w:rsidP="003A45F6">
      <w:pPr>
        <w:jc w:val="both"/>
        <w:rPr>
          <w:b/>
        </w:rPr>
      </w:pPr>
    </w:p>
    <w:p w:rsidR="00B14B5B" w:rsidRPr="00DE798C" w:rsidRDefault="00B14B5B" w:rsidP="003A45F6">
      <w:pPr>
        <w:jc w:val="both"/>
        <w:rPr>
          <w:b/>
        </w:rPr>
      </w:pPr>
      <w:r w:rsidRPr="00DE798C">
        <w:rPr>
          <w:b/>
        </w:rPr>
        <w:t>MATIN</w:t>
      </w:r>
    </w:p>
    <w:p w:rsidR="00B14B5B" w:rsidRPr="00DE798C" w:rsidRDefault="00B14B5B" w:rsidP="003A45F6">
      <w:pPr>
        <w:jc w:val="both"/>
      </w:pPr>
    </w:p>
    <w:p w:rsidR="006A5F6E" w:rsidRPr="00DE798C" w:rsidRDefault="00032C72" w:rsidP="00B67175">
      <w:pPr>
        <w:pStyle w:val="Paragraphedeliste"/>
        <w:numPr>
          <w:ilvl w:val="0"/>
          <w:numId w:val="2"/>
        </w:numPr>
        <w:jc w:val="both"/>
        <w:rPr>
          <w:b/>
          <w:sz w:val="24"/>
          <w:szCs w:val="24"/>
        </w:rPr>
      </w:pPr>
      <w:r w:rsidRPr="00DE798C">
        <w:rPr>
          <w:b/>
          <w:sz w:val="28"/>
          <w:szCs w:val="28"/>
        </w:rPr>
        <w:t xml:space="preserve">La </w:t>
      </w:r>
      <w:r w:rsidR="0089091D" w:rsidRPr="00DE798C">
        <w:rPr>
          <w:b/>
          <w:sz w:val="28"/>
          <w:szCs w:val="28"/>
        </w:rPr>
        <w:t xml:space="preserve">question de la </w:t>
      </w:r>
      <w:r w:rsidRPr="00DE798C">
        <w:rPr>
          <w:b/>
          <w:sz w:val="28"/>
          <w:szCs w:val="28"/>
        </w:rPr>
        <w:t xml:space="preserve">représentation de la diversité dans les </w:t>
      </w:r>
      <w:r w:rsidR="00D550AB">
        <w:rPr>
          <w:b/>
          <w:sz w:val="28"/>
          <w:szCs w:val="28"/>
        </w:rPr>
        <w:t xml:space="preserve">discours </w:t>
      </w:r>
      <w:proofErr w:type="spellStart"/>
      <w:r w:rsidR="00D550AB">
        <w:rPr>
          <w:b/>
          <w:sz w:val="28"/>
          <w:szCs w:val="28"/>
        </w:rPr>
        <w:t>expographiques</w:t>
      </w:r>
      <w:proofErr w:type="spellEnd"/>
    </w:p>
    <w:p w:rsidR="00032C72" w:rsidRPr="00DE798C" w:rsidRDefault="00032C72" w:rsidP="003A45F6">
      <w:pPr>
        <w:jc w:val="both"/>
      </w:pPr>
    </w:p>
    <w:p w:rsidR="0089091D" w:rsidRPr="00DE798C" w:rsidRDefault="004C0119" w:rsidP="00F40E2A">
      <w:pPr>
        <w:jc w:val="both"/>
        <w:rPr>
          <w:b/>
          <w:i/>
        </w:rPr>
      </w:pPr>
      <w:r w:rsidRPr="00DE798C">
        <w:t xml:space="preserve">9h30 / 10h </w:t>
      </w:r>
      <w:r w:rsidR="0089091D" w:rsidRPr="00DE798C">
        <w:rPr>
          <w:b/>
          <w:i/>
        </w:rPr>
        <w:t xml:space="preserve">Présentation de l’enquête sur les représentations </w:t>
      </w:r>
      <w:proofErr w:type="spellStart"/>
      <w:r w:rsidR="0089091D" w:rsidRPr="00DE798C">
        <w:rPr>
          <w:b/>
          <w:i/>
        </w:rPr>
        <w:t>genrées</w:t>
      </w:r>
      <w:proofErr w:type="spellEnd"/>
      <w:r w:rsidR="0089091D" w:rsidRPr="00DE798C">
        <w:rPr>
          <w:b/>
          <w:i/>
        </w:rPr>
        <w:t xml:space="preserve"> et ethnicisées </w:t>
      </w:r>
      <w:r w:rsidR="00ED4A38" w:rsidRPr="00DE798C">
        <w:rPr>
          <w:b/>
          <w:i/>
        </w:rPr>
        <w:t xml:space="preserve">dans les discours </w:t>
      </w:r>
      <w:proofErr w:type="spellStart"/>
      <w:r w:rsidR="00ED4A38" w:rsidRPr="00DE798C">
        <w:rPr>
          <w:b/>
          <w:i/>
        </w:rPr>
        <w:t>expographiques</w:t>
      </w:r>
      <w:proofErr w:type="spellEnd"/>
      <w:r w:rsidR="00ED4A38" w:rsidRPr="00DE798C">
        <w:rPr>
          <w:b/>
          <w:i/>
        </w:rPr>
        <w:t> : l’exemple de la Préhistoire</w:t>
      </w:r>
    </w:p>
    <w:p w:rsidR="00F40E2A" w:rsidRPr="00DE798C" w:rsidRDefault="00F40E2A" w:rsidP="00F40E2A">
      <w:pPr>
        <w:ind w:firstLine="708"/>
        <w:jc w:val="both"/>
      </w:pPr>
      <w:r w:rsidRPr="00DE798C">
        <w:rPr>
          <w:u w:val="single"/>
        </w:rPr>
        <w:t>Intervenants</w:t>
      </w:r>
      <w:r w:rsidRPr="00DE798C">
        <w:t> :</w:t>
      </w:r>
      <w:r w:rsidR="00A938E0" w:rsidRPr="00DE798C">
        <w:t> </w:t>
      </w:r>
      <w:r w:rsidR="00ED4A38" w:rsidRPr="00DE798C">
        <w:t xml:space="preserve">Jasmina </w:t>
      </w:r>
      <w:proofErr w:type="spellStart"/>
      <w:r w:rsidR="00ED4A38" w:rsidRPr="00DE798C">
        <w:t>Stevanovic</w:t>
      </w:r>
      <w:proofErr w:type="spellEnd"/>
      <w:r w:rsidR="004C0119" w:rsidRPr="00DE798C">
        <w:t>, responsable du pôle études, Départem</w:t>
      </w:r>
      <w:r w:rsidR="00DE798C">
        <w:t>ent de la politique des publics</w:t>
      </w:r>
    </w:p>
    <w:p w:rsidR="00ED4A38" w:rsidRPr="00DE798C" w:rsidRDefault="00ED4A38" w:rsidP="00ED4A38">
      <w:pPr>
        <w:jc w:val="both"/>
      </w:pPr>
    </w:p>
    <w:p w:rsidR="00ED4A38" w:rsidRPr="00DE798C" w:rsidRDefault="00E779D0" w:rsidP="00ED4A38">
      <w:pPr>
        <w:jc w:val="both"/>
      </w:pPr>
      <w:r w:rsidRPr="00DE798C">
        <w:t>10h / 10h30</w:t>
      </w:r>
      <w:r w:rsidR="004C0119" w:rsidRPr="00DE798C">
        <w:t xml:space="preserve"> </w:t>
      </w:r>
      <w:r w:rsidRPr="00DE798C">
        <w:rPr>
          <w:b/>
          <w:i/>
        </w:rPr>
        <w:t xml:space="preserve">Intervention de </w:t>
      </w:r>
      <w:r w:rsidR="004C0119" w:rsidRPr="00DE798C">
        <w:rPr>
          <w:b/>
          <w:i/>
        </w:rPr>
        <w:t>Françoise Vergès </w:t>
      </w:r>
      <w:r w:rsidRPr="00DE798C">
        <w:rPr>
          <w:b/>
          <w:i/>
        </w:rPr>
        <w:t xml:space="preserve">sur la question de la décolonisation </w:t>
      </w:r>
      <w:r w:rsidR="004C0119" w:rsidRPr="00DE798C">
        <w:rPr>
          <w:b/>
          <w:i/>
        </w:rPr>
        <w:t>?</w:t>
      </w:r>
      <w:r w:rsidR="004C0119" w:rsidRPr="00DE798C">
        <w:t xml:space="preserve"> </w:t>
      </w:r>
    </w:p>
    <w:p w:rsidR="00F40E2A" w:rsidRPr="00DE798C" w:rsidRDefault="00F40E2A" w:rsidP="00F40E2A">
      <w:pPr>
        <w:ind w:firstLine="708"/>
        <w:jc w:val="both"/>
      </w:pPr>
    </w:p>
    <w:p w:rsidR="00F40E2A" w:rsidRPr="00DE798C" w:rsidRDefault="00F40E2A" w:rsidP="00F40E2A">
      <w:pPr>
        <w:jc w:val="both"/>
      </w:pPr>
      <w:r w:rsidRPr="00DE798C">
        <w:t xml:space="preserve">10h </w:t>
      </w:r>
      <w:r w:rsidR="005A1288" w:rsidRPr="005A1288">
        <w:rPr>
          <w:b/>
          <w:i/>
        </w:rPr>
        <w:t>De Cro-Magnon…à Sapiens, préjugé d’une histoire !</w:t>
      </w:r>
    </w:p>
    <w:p w:rsidR="00032C72" w:rsidRPr="00DE798C" w:rsidRDefault="00F40E2A" w:rsidP="00F40E2A">
      <w:pPr>
        <w:ind w:firstLine="708"/>
        <w:jc w:val="both"/>
      </w:pPr>
      <w:r w:rsidRPr="00DE798C">
        <w:rPr>
          <w:u w:val="single"/>
        </w:rPr>
        <w:t>Intervenants</w:t>
      </w:r>
      <w:r w:rsidRPr="00DE798C">
        <w:t xml:space="preserve"> : </w:t>
      </w:r>
      <w:r w:rsidR="00E779D0" w:rsidRPr="00DE798C">
        <w:t xml:space="preserve">David </w:t>
      </w:r>
      <w:proofErr w:type="spellStart"/>
      <w:r w:rsidR="00E779D0" w:rsidRPr="00DE798C">
        <w:t>L</w:t>
      </w:r>
      <w:r w:rsidR="00AD6BBD">
        <w:t>aporal</w:t>
      </w:r>
      <w:proofErr w:type="spellEnd"/>
      <w:r w:rsidR="00AD6BBD">
        <w:t>, s</w:t>
      </w:r>
      <w:r w:rsidR="00AD6BBD" w:rsidRPr="00AD6BBD">
        <w:t>ervice du développement culturel et des publics</w:t>
      </w:r>
    </w:p>
    <w:p w:rsidR="00F40E2A" w:rsidRPr="00DE798C" w:rsidRDefault="00F40E2A" w:rsidP="00F40E2A">
      <w:pPr>
        <w:jc w:val="both"/>
      </w:pPr>
    </w:p>
    <w:p w:rsidR="00F40E2A" w:rsidRPr="00DE798C" w:rsidRDefault="00F40E2A" w:rsidP="00F40E2A">
      <w:pPr>
        <w:jc w:val="both"/>
      </w:pPr>
      <w:r w:rsidRPr="00DE798C">
        <w:t xml:space="preserve">10h30 </w:t>
      </w:r>
      <w:r w:rsidRPr="00DE798C">
        <w:rPr>
          <w:b/>
          <w:i/>
        </w:rPr>
        <w:t xml:space="preserve">La question de la représentation de la diversité </w:t>
      </w:r>
      <w:r w:rsidR="00DE798C">
        <w:rPr>
          <w:b/>
          <w:i/>
        </w:rPr>
        <w:t>dans un musée étranger</w:t>
      </w:r>
      <w:r w:rsidRPr="00DE798C">
        <w:t> </w:t>
      </w:r>
    </w:p>
    <w:p w:rsidR="00032C72" w:rsidRPr="00DE798C" w:rsidRDefault="00F40E2A" w:rsidP="00F40E2A">
      <w:pPr>
        <w:ind w:firstLine="708"/>
        <w:jc w:val="both"/>
      </w:pPr>
      <w:r w:rsidRPr="00DE798C">
        <w:rPr>
          <w:u w:val="single"/>
        </w:rPr>
        <w:t>Intervenants</w:t>
      </w:r>
      <w:r w:rsidRPr="00DE798C">
        <w:t xml:space="preserve"> : </w:t>
      </w:r>
      <w:r w:rsidR="00DE798C">
        <w:t xml:space="preserve">National Portrait </w:t>
      </w:r>
      <w:proofErr w:type="spellStart"/>
      <w:r w:rsidR="00DE798C">
        <w:t>Gallery</w:t>
      </w:r>
      <w:proofErr w:type="spellEnd"/>
      <w:r w:rsidR="00DE798C">
        <w:t xml:space="preserve"> (à confirmer)</w:t>
      </w:r>
    </w:p>
    <w:p w:rsidR="00032C72" w:rsidRPr="00DE798C" w:rsidRDefault="00032C72" w:rsidP="003A45F6">
      <w:pPr>
        <w:jc w:val="both"/>
      </w:pPr>
    </w:p>
    <w:p w:rsidR="006A5F6E" w:rsidRPr="00DE798C" w:rsidRDefault="006A5F6E" w:rsidP="003A45F6">
      <w:pPr>
        <w:jc w:val="both"/>
        <w:rPr>
          <w:b/>
        </w:rPr>
      </w:pPr>
    </w:p>
    <w:p w:rsidR="00032C72" w:rsidRPr="00DE798C" w:rsidRDefault="00032C72" w:rsidP="003A45F6">
      <w:pPr>
        <w:jc w:val="both"/>
        <w:rPr>
          <w:b/>
        </w:rPr>
      </w:pPr>
      <w:r w:rsidRPr="00DE798C">
        <w:rPr>
          <w:b/>
        </w:rPr>
        <w:t>APRES MIDI</w:t>
      </w:r>
    </w:p>
    <w:p w:rsidR="006A5F6E" w:rsidRPr="00DE798C" w:rsidRDefault="006A5F6E" w:rsidP="003A45F6">
      <w:pPr>
        <w:jc w:val="both"/>
        <w:rPr>
          <w:b/>
        </w:rPr>
      </w:pPr>
    </w:p>
    <w:p w:rsidR="006A5F6E" w:rsidRPr="00DE798C" w:rsidRDefault="006A5F6E" w:rsidP="003A45F6">
      <w:pPr>
        <w:pStyle w:val="Paragraphedeliste"/>
        <w:numPr>
          <w:ilvl w:val="0"/>
          <w:numId w:val="2"/>
        </w:numPr>
        <w:jc w:val="both"/>
        <w:rPr>
          <w:b/>
          <w:sz w:val="28"/>
          <w:szCs w:val="28"/>
        </w:rPr>
      </w:pPr>
      <w:r w:rsidRPr="00DE798C">
        <w:rPr>
          <w:b/>
          <w:sz w:val="28"/>
          <w:szCs w:val="28"/>
        </w:rPr>
        <w:t>Etudes de cas</w:t>
      </w:r>
    </w:p>
    <w:p w:rsidR="006A5F6E" w:rsidRPr="00DE798C" w:rsidRDefault="006A5F6E" w:rsidP="003A45F6">
      <w:pPr>
        <w:jc w:val="both"/>
        <w:rPr>
          <w:b/>
        </w:rPr>
      </w:pPr>
    </w:p>
    <w:p w:rsidR="0089091D" w:rsidRPr="00DE798C" w:rsidRDefault="00E779D0" w:rsidP="0089091D">
      <w:pPr>
        <w:jc w:val="both"/>
      </w:pPr>
      <w:r w:rsidRPr="00DE798C">
        <w:t>14</w:t>
      </w:r>
      <w:r w:rsidR="0089091D" w:rsidRPr="00DE798C">
        <w:t xml:space="preserve">h </w:t>
      </w:r>
      <w:r w:rsidR="0089091D" w:rsidRPr="00DE798C">
        <w:rPr>
          <w:b/>
          <w:i/>
        </w:rPr>
        <w:t xml:space="preserve">Enquête sur la réception </w:t>
      </w:r>
      <w:r w:rsidRPr="00DE798C">
        <w:rPr>
          <w:b/>
          <w:i/>
        </w:rPr>
        <w:t xml:space="preserve">auprès des visiteurs </w:t>
      </w:r>
      <w:r w:rsidR="0089091D" w:rsidRPr="00DE798C">
        <w:rPr>
          <w:b/>
          <w:i/>
        </w:rPr>
        <w:t>de l’exposition « Imaginaires et représentations de l’Orient » au musée Delacroix</w:t>
      </w:r>
      <w:r w:rsidR="0089091D" w:rsidRPr="00DE798C">
        <w:t xml:space="preserve"> auprès des visiteurs. </w:t>
      </w:r>
    </w:p>
    <w:p w:rsidR="0089091D" w:rsidRPr="00DE798C" w:rsidRDefault="0089091D" w:rsidP="0089091D">
      <w:pPr>
        <w:ind w:firstLine="708"/>
        <w:jc w:val="both"/>
      </w:pPr>
      <w:r w:rsidRPr="00DE798C">
        <w:rPr>
          <w:u w:val="single"/>
        </w:rPr>
        <w:t>Intervenants</w:t>
      </w:r>
      <w:r w:rsidRPr="00DE798C">
        <w:t> : Mélanie Roustan</w:t>
      </w:r>
      <w:r w:rsidR="00E779D0" w:rsidRPr="00DE798C">
        <w:t>, anthropologue et</w:t>
      </w:r>
      <w:r w:rsidRPr="00DE798C">
        <w:t xml:space="preserve"> pilot</w:t>
      </w:r>
      <w:r w:rsidR="00E779D0" w:rsidRPr="00DE798C">
        <w:t>e</w:t>
      </w:r>
      <w:r w:rsidRPr="00DE798C">
        <w:t xml:space="preserve"> de l’enquête, maitre de conférence Museum national d’histoire naturel</w:t>
      </w:r>
    </w:p>
    <w:p w:rsidR="0089091D" w:rsidRPr="00DE798C" w:rsidRDefault="0089091D" w:rsidP="00E779D0">
      <w:pPr>
        <w:jc w:val="both"/>
      </w:pPr>
    </w:p>
    <w:p w:rsidR="00032C72" w:rsidRPr="00DE798C" w:rsidRDefault="00E779D0" w:rsidP="00F40E2A">
      <w:pPr>
        <w:jc w:val="both"/>
      </w:pPr>
      <w:r w:rsidRPr="00DE798C">
        <w:t>14h30</w:t>
      </w:r>
      <w:r w:rsidR="00F40E2A" w:rsidRPr="00DE798C">
        <w:t xml:space="preserve">h </w:t>
      </w:r>
      <w:r w:rsidR="00032C72" w:rsidRPr="00DE798C">
        <w:rPr>
          <w:b/>
          <w:i/>
        </w:rPr>
        <w:t>Exposition « Roux ! » musée Jean-Jacques Henner</w:t>
      </w:r>
    </w:p>
    <w:p w:rsidR="00F40E2A" w:rsidRPr="00DE798C" w:rsidRDefault="00F40E2A" w:rsidP="00807A90">
      <w:pPr>
        <w:ind w:firstLine="708"/>
        <w:jc w:val="both"/>
      </w:pPr>
      <w:r w:rsidRPr="00DE798C">
        <w:rPr>
          <w:u w:val="single"/>
        </w:rPr>
        <w:t>Intervenants</w:t>
      </w:r>
      <w:r w:rsidRPr="00DE798C">
        <w:t xml:space="preserve"> : </w:t>
      </w:r>
      <w:r w:rsidR="007C5FD9">
        <w:t xml:space="preserve">Claire </w:t>
      </w:r>
      <w:proofErr w:type="spellStart"/>
      <w:r w:rsidR="007C5FD9">
        <w:t>Bessède</w:t>
      </w:r>
      <w:proofErr w:type="spellEnd"/>
      <w:r w:rsidR="005A772F">
        <w:t>, directrice du musée</w:t>
      </w:r>
      <w:r w:rsidR="007C5FD9">
        <w:t xml:space="preserve"> national Eugène Delacroix</w:t>
      </w:r>
      <w:r w:rsidR="00807A90">
        <w:t xml:space="preserve">, et </w:t>
      </w:r>
      <w:proofErr w:type="spellStart"/>
      <w:r w:rsidR="00807A90">
        <w:t>représenant</w:t>
      </w:r>
      <w:proofErr w:type="spellEnd"/>
      <w:r w:rsidR="00807A90">
        <w:t xml:space="preserve"> du service </w:t>
      </w:r>
      <w:r w:rsidR="00807A90">
        <w:t>des publics, de la communication et des activités culturelles</w:t>
      </w:r>
      <w:r w:rsidR="00807A90">
        <w:t xml:space="preserve"> du m</w:t>
      </w:r>
      <w:r w:rsidR="00807A90">
        <w:t>usée national Jean-Jacques Henner</w:t>
      </w:r>
      <w:bookmarkStart w:id="0" w:name="_GoBack"/>
      <w:bookmarkEnd w:id="0"/>
    </w:p>
    <w:p w:rsidR="00F40E2A" w:rsidRPr="00DE798C" w:rsidRDefault="00F40E2A" w:rsidP="00F40E2A">
      <w:pPr>
        <w:jc w:val="both"/>
      </w:pPr>
    </w:p>
    <w:p w:rsidR="00032C72" w:rsidRPr="00DE798C" w:rsidRDefault="00E779D0" w:rsidP="00F40E2A">
      <w:pPr>
        <w:jc w:val="both"/>
      </w:pPr>
      <w:r w:rsidRPr="00DE798C">
        <w:t>15h</w:t>
      </w:r>
      <w:r w:rsidR="00F40E2A" w:rsidRPr="00DE798C">
        <w:t xml:space="preserve"> </w:t>
      </w:r>
      <w:r w:rsidR="00032C72" w:rsidRPr="00DE798C">
        <w:rPr>
          <w:b/>
          <w:i/>
        </w:rPr>
        <w:t>Exposition « Le modèle noir de Géricault à Matisse » au musée d’Orsay</w:t>
      </w:r>
    </w:p>
    <w:p w:rsidR="00F40E2A" w:rsidRDefault="00F40E2A" w:rsidP="00F40E2A">
      <w:pPr>
        <w:ind w:firstLine="708"/>
        <w:jc w:val="both"/>
      </w:pPr>
      <w:r w:rsidRPr="00DE798C">
        <w:rPr>
          <w:u w:val="single"/>
        </w:rPr>
        <w:t>Intervenants</w:t>
      </w:r>
      <w:r w:rsidRPr="00DE798C">
        <w:t xml:space="preserve"> : Isolde </w:t>
      </w:r>
      <w:proofErr w:type="spellStart"/>
      <w:r w:rsidRPr="00DE798C">
        <w:t>Pludermacher</w:t>
      </w:r>
      <w:proofErr w:type="spellEnd"/>
      <w:r w:rsidRPr="00DE798C">
        <w:t>, conservatrice en chef au musée d'Orsay</w:t>
      </w:r>
      <w:r w:rsidR="005A772F">
        <w:t xml:space="preserve">, </w:t>
      </w:r>
      <w:r w:rsidR="009C617B">
        <w:t xml:space="preserve">et </w:t>
      </w:r>
      <w:r w:rsidR="00AD6BBD">
        <w:t xml:space="preserve">Didier </w:t>
      </w:r>
      <w:proofErr w:type="spellStart"/>
      <w:r w:rsidR="00AD6BBD">
        <w:t>Frémond</w:t>
      </w:r>
      <w:proofErr w:type="spellEnd"/>
      <w:r w:rsidR="00AD6BBD">
        <w:t>,</w:t>
      </w:r>
      <w:r w:rsidR="005A772F" w:rsidRPr="005A772F">
        <w:t xml:space="preserve"> </w:t>
      </w:r>
      <w:r w:rsidR="00AD6BBD">
        <w:t>r</w:t>
      </w:r>
      <w:r w:rsidR="00AD6BBD" w:rsidRPr="00AD6BBD">
        <w:t>esponsable de formation des enseignants et projets éducatifs numériques</w:t>
      </w:r>
      <w:r w:rsidR="00AD6BBD">
        <w:t xml:space="preserve"> </w:t>
      </w:r>
      <w:r w:rsidR="005A772F">
        <w:t>au musée d’Orsay</w:t>
      </w:r>
    </w:p>
    <w:p w:rsidR="00F40E2A" w:rsidRDefault="00F40E2A" w:rsidP="00F40E2A">
      <w:pPr>
        <w:jc w:val="both"/>
      </w:pPr>
    </w:p>
    <w:p w:rsidR="0089091D" w:rsidRPr="00032C72" w:rsidRDefault="0089091D">
      <w:pPr>
        <w:ind w:left="1416" w:firstLine="708"/>
        <w:jc w:val="both"/>
      </w:pPr>
    </w:p>
    <w:sectPr w:rsidR="0089091D" w:rsidRPr="00032C72" w:rsidSect="008F2C38">
      <w:pgSz w:w="11906" w:h="16838"/>
      <w:pgMar w:top="127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80506"/>
    <w:multiLevelType w:val="hybridMultilevel"/>
    <w:tmpl w:val="6C72E0A4"/>
    <w:lvl w:ilvl="0" w:tplc="EBA2444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F73690E"/>
    <w:multiLevelType w:val="hybridMultilevel"/>
    <w:tmpl w:val="ED8818C0"/>
    <w:lvl w:ilvl="0" w:tplc="45AC4E5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E6B"/>
    <w:rsid w:val="00032C72"/>
    <w:rsid w:val="00193B2B"/>
    <w:rsid w:val="001F416D"/>
    <w:rsid w:val="002048F7"/>
    <w:rsid w:val="003139C0"/>
    <w:rsid w:val="00313E7A"/>
    <w:rsid w:val="003A45F6"/>
    <w:rsid w:val="00405270"/>
    <w:rsid w:val="004C0119"/>
    <w:rsid w:val="005A1288"/>
    <w:rsid w:val="005A772F"/>
    <w:rsid w:val="005D209B"/>
    <w:rsid w:val="006A5F6E"/>
    <w:rsid w:val="00700A7A"/>
    <w:rsid w:val="007C5FD9"/>
    <w:rsid w:val="00807A90"/>
    <w:rsid w:val="0089091D"/>
    <w:rsid w:val="008F2C38"/>
    <w:rsid w:val="00995558"/>
    <w:rsid w:val="009C617B"/>
    <w:rsid w:val="00A507DE"/>
    <w:rsid w:val="00A938E0"/>
    <w:rsid w:val="00AD6BBD"/>
    <w:rsid w:val="00AF16F4"/>
    <w:rsid w:val="00B14B5B"/>
    <w:rsid w:val="00C14775"/>
    <w:rsid w:val="00CC72D9"/>
    <w:rsid w:val="00D550AB"/>
    <w:rsid w:val="00DE798C"/>
    <w:rsid w:val="00E26ACB"/>
    <w:rsid w:val="00E779D0"/>
    <w:rsid w:val="00ED4A38"/>
    <w:rsid w:val="00EF0B32"/>
    <w:rsid w:val="00F22E6B"/>
    <w:rsid w:val="00F40E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C72"/>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32C72"/>
    <w:rPr>
      <w:color w:val="0000FF"/>
      <w:u w:val="single"/>
    </w:rPr>
  </w:style>
  <w:style w:type="paragraph" w:styleId="Paragraphedeliste">
    <w:name w:val="List Paragraph"/>
    <w:basedOn w:val="Normal"/>
    <w:uiPriority w:val="34"/>
    <w:qFormat/>
    <w:rsid w:val="00032C72"/>
    <w:pPr>
      <w:ind w:left="720"/>
    </w:pPr>
  </w:style>
  <w:style w:type="paragraph" w:styleId="Textedebulles">
    <w:name w:val="Balloon Text"/>
    <w:basedOn w:val="Normal"/>
    <w:link w:val="TextedebullesCar"/>
    <w:uiPriority w:val="99"/>
    <w:semiHidden/>
    <w:unhideWhenUsed/>
    <w:rsid w:val="00032C72"/>
    <w:rPr>
      <w:rFonts w:ascii="Tahoma" w:hAnsi="Tahoma" w:cs="Tahoma"/>
      <w:sz w:val="16"/>
      <w:szCs w:val="16"/>
    </w:rPr>
  </w:style>
  <w:style w:type="character" w:customStyle="1" w:styleId="TextedebullesCar">
    <w:name w:val="Texte de bulles Car"/>
    <w:basedOn w:val="Policepardfaut"/>
    <w:link w:val="Textedebulles"/>
    <w:uiPriority w:val="99"/>
    <w:semiHidden/>
    <w:rsid w:val="00032C72"/>
    <w:rPr>
      <w:rFonts w:ascii="Tahoma" w:hAnsi="Tahoma" w:cs="Tahoma"/>
      <w:sz w:val="16"/>
      <w:szCs w:val="16"/>
    </w:rPr>
  </w:style>
  <w:style w:type="paragraph" w:styleId="Sansinterligne">
    <w:name w:val="No Spacing"/>
    <w:uiPriority w:val="1"/>
    <w:qFormat/>
    <w:rsid w:val="006A5F6E"/>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C72"/>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32C72"/>
    <w:rPr>
      <w:color w:val="0000FF"/>
      <w:u w:val="single"/>
    </w:rPr>
  </w:style>
  <w:style w:type="paragraph" w:styleId="Paragraphedeliste">
    <w:name w:val="List Paragraph"/>
    <w:basedOn w:val="Normal"/>
    <w:uiPriority w:val="34"/>
    <w:qFormat/>
    <w:rsid w:val="00032C72"/>
    <w:pPr>
      <w:ind w:left="720"/>
    </w:pPr>
  </w:style>
  <w:style w:type="paragraph" w:styleId="Textedebulles">
    <w:name w:val="Balloon Text"/>
    <w:basedOn w:val="Normal"/>
    <w:link w:val="TextedebullesCar"/>
    <w:uiPriority w:val="99"/>
    <w:semiHidden/>
    <w:unhideWhenUsed/>
    <w:rsid w:val="00032C72"/>
    <w:rPr>
      <w:rFonts w:ascii="Tahoma" w:hAnsi="Tahoma" w:cs="Tahoma"/>
      <w:sz w:val="16"/>
      <w:szCs w:val="16"/>
    </w:rPr>
  </w:style>
  <w:style w:type="character" w:customStyle="1" w:styleId="TextedebullesCar">
    <w:name w:val="Texte de bulles Car"/>
    <w:basedOn w:val="Policepardfaut"/>
    <w:link w:val="Textedebulles"/>
    <w:uiPriority w:val="99"/>
    <w:semiHidden/>
    <w:rsid w:val="00032C72"/>
    <w:rPr>
      <w:rFonts w:ascii="Tahoma" w:hAnsi="Tahoma" w:cs="Tahoma"/>
      <w:sz w:val="16"/>
      <w:szCs w:val="16"/>
    </w:rPr>
  </w:style>
  <w:style w:type="paragraph" w:styleId="Sansinterligne">
    <w:name w:val="No Spacing"/>
    <w:uiPriority w:val="1"/>
    <w:qFormat/>
    <w:rsid w:val="006A5F6E"/>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81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821</Words>
  <Characters>4518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Maume Emilie</dc:creator>
  <cp:lastModifiedBy>Maume Emilie</cp:lastModifiedBy>
  <cp:revision>11</cp:revision>
  <cp:lastPrinted>2020-01-24T14:32:00Z</cp:lastPrinted>
  <dcterms:created xsi:type="dcterms:W3CDTF">2020-02-03T14:48:00Z</dcterms:created>
  <dcterms:modified xsi:type="dcterms:W3CDTF">2020-03-09T15:15:00Z</dcterms:modified>
</cp:coreProperties>
</file>